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31" w:rsidRPr="007B1E02" w:rsidRDefault="00070931" w:rsidP="007B1E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1E02">
        <w:rPr>
          <w:rFonts w:ascii="Times New Roman" w:hAnsi="Times New Roman" w:cs="Times New Roman"/>
          <w:bCs/>
          <w:sz w:val="24"/>
          <w:szCs w:val="24"/>
        </w:rPr>
        <w:t>АДМИНИСТРАЦИЯ ЮРЬЕВЕЦКОГО</w:t>
      </w:r>
      <w:r w:rsidR="007B1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E02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070931" w:rsidRPr="007B1E02" w:rsidRDefault="00070931" w:rsidP="007B1E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1E02">
        <w:rPr>
          <w:rFonts w:ascii="Times New Roman" w:hAnsi="Times New Roman" w:cs="Times New Roman"/>
          <w:bCs/>
          <w:sz w:val="24"/>
          <w:szCs w:val="24"/>
        </w:rPr>
        <w:t>ИВАНОВСКОЙ ОБЛАСТИ</w:t>
      </w:r>
    </w:p>
    <w:p w:rsidR="00070931" w:rsidRPr="007B1E02" w:rsidRDefault="00070931" w:rsidP="007B1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931" w:rsidRPr="007B1E02" w:rsidRDefault="00070931" w:rsidP="007B1E02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1E02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70931" w:rsidRPr="007B1E02" w:rsidRDefault="00070931" w:rsidP="007B1E02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1E02" w:rsidRDefault="00070931" w:rsidP="007B1E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 от 13.06.2023   №   206</w:t>
      </w:r>
    </w:p>
    <w:p w:rsidR="00070931" w:rsidRPr="007B1E02" w:rsidRDefault="007B1E02" w:rsidP="007B1E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931" w:rsidRPr="007B1E02">
        <w:rPr>
          <w:rFonts w:ascii="Times New Roman" w:hAnsi="Times New Roman" w:cs="Times New Roman"/>
          <w:sz w:val="24"/>
          <w:szCs w:val="24"/>
        </w:rPr>
        <w:t xml:space="preserve"> г. Юрьевец                                                                </w:t>
      </w:r>
    </w:p>
    <w:p w:rsidR="00070931" w:rsidRPr="007B1E02" w:rsidRDefault="00070931" w:rsidP="007B1E02">
      <w:pPr>
        <w:tabs>
          <w:tab w:val="left" w:pos="60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931" w:rsidRPr="007B1E02" w:rsidRDefault="00070931" w:rsidP="007B1E02">
      <w:pPr>
        <w:tabs>
          <w:tab w:val="left" w:pos="60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931" w:rsidRPr="007B1E02" w:rsidRDefault="00222413" w:rsidP="007B1E02">
      <w:pPr>
        <w:tabs>
          <w:tab w:val="left" w:pos="60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О П</w:t>
      </w:r>
      <w:r w:rsidR="00070931" w:rsidRPr="007B1E02">
        <w:rPr>
          <w:rFonts w:ascii="Times New Roman" w:hAnsi="Times New Roman" w:cs="Times New Roman"/>
          <w:bCs/>
          <w:sz w:val="24"/>
          <w:szCs w:val="24"/>
        </w:rPr>
        <w:t>орядке разработки и реализации муниципальных программ Юрьевецкого муниципального района и Юрьевецкого городского поселения</w:t>
      </w:r>
    </w:p>
    <w:bookmarkEnd w:id="0"/>
    <w:p w:rsidR="00070931" w:rsidRPr="007B1E02" w:rsidRDefault="00070931" w:rsidP="007B1E02">
      <w:pPr>
        <w:pStyle w:val="ConsPlusNormal"/>
        <w:tabs>
          <w:tab w:val="left" w:pos="851"/>
        </w:tabs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0931" w:rsidRPr="007B1E02" w:rsidRDefault="00070931" w:rsidP="007B1E0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931" w:rsidRPr="007B1E02" w:rsidRDefault="00070931" w:rsidP="007B1E0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E02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tooltip="&quot;Бюджетный кодекс Российской Федерации&quot; от 31.07.1998 N 145-ФЗ (ред. от 14.04.2023) (с изм. и доп., вступ. в силу с 21.05.2023) {КонсультантПлюс}">
        <w:r w:rsidRPr="007B1E0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B1E0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tooltip="Федеральный закон от 28.06.2014 N 172-ФЗ (ред. от 17.02.2023) &quot;О стратегическом планировании в Российской Федерации&quot; {КонсультантПлюс}">
        <w:r w:rsidRPr="007B1E0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1E02">
        <w:rPr>
          <w:rFonts w:ascii="Times New Roman" w:hAnsi="Times New Roman" w:cs="Times New Roman"/>
          <w:sz w:val="24"/>
          <w:szCs w:val="24"/>
        </w:rPr>
        <w:t xml:space="preserve"> от 28.06.2014 № 172-ФЗ «О стратегическом планировании в Российской Федерации», </w:t>
      </w:r>
      <w:hyperlink r:id="rId7" w:tooltip="Постановление Правительства РФ от 26.05.2021 N 786 (ред. от 28.12.2022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{КонсультантПлюс}">
        <w:r w:rsidRPr="007B1E0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B1E0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26.05.2021 № 786 «О системе управления государственными программами Российской Федерации», постановлением Правительства Ивановской области от 14.02.2022 №175-п «О порядке разработки и реализации государственных программ Ивановской области»  в целях совершенствования нормативного правового регулирования работы с муниципальными программами Юрьевецкого муниципального</w:t>
      </w:r>
      <w:proofErr w:type="gramEnd"/>
      <w:r w:rsidRPr="007B1E02">
        <w:rPr>
          <w:rFonts w:ascii="Times New Roman" w:hAnsi="Times New Roman" w:cs="Times New Roman"/>
          <w:sz w:val="24"/>
          <w:szCs w:val="24"/>
        </w:rPr>
        <w:t xml:space="preserve"> района и Юрьевецкого городского поселения администрация Юрьевецкого муниципального района,  постановляет:</w:t>
      </w:r>
    </w:p>
    <w:p w:rsidR="00070931" w:rsidRPr="007B1E02" w:rsidRDefault="00070931" w:rsidP="007B1E0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1. Утвердить Порядок разработки и реализации муниципальных программ Юрьевецкого муниципального района и Юрьевецкого городского поселения (Приложение к настоящему Постановлению).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2.Установить, что: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2.1. Данный Порядок применяется к правоотношениям, связанным с разработкой, формированием и реализацией муниципальных программ Юрьевецкого муниципального района и Юрьевецкого городского поселения, начиная с их приведения в соответствие с решениями о бюджете на 2024 год и плановый период 2025 и 2026 годов.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 xml:space="preserve">2.2. </w:t>
      </w:r>
      <w:proofErr w:type="gramStart"/>
      <w:r w:rsidRPr="007B1E02">
        <w:t xml:space="preserve">В  2024 году представление годовых отчетов о ходе реализации и оценке эффективности муниципальных программ Юрьевецкого муниципального района и Юрьевецкого городского поселения за 2023 год производится в соответствии с </w:t>
      </w:r>
      <w:hyperlink r:id="rId8" w:tooltip="Постановление Правительства Ивановской области от 03.09.2013 N 358-п (ред. от 14.04.2022) &quot;О переходе к формированию областного бюджета на основе государственных программ Ивановской области&quot; (вместе с &quot;Порядком разработки, реализации и оценки эффективности гос">
        <w:r w:rsidRPr="007B1E02">
          <w:t>Порядком</w:t>
        </w:r>
      </w:hyperlink>
      <w:r w:rsidRPr="007B1E02">
        <w:t xml:space="preserve"> разработки, реализации и оценки эффективности муниципальных программ Юрьевецкого муниципального района и Юрьевецкого городского поселения, утвержденным постановлением Администрации Юрьевецкого муниципального района от 23.09.2013 № 487 «О переходе к формированию бюджета Юрьевецкого муниципального района</w:t>
      </w:r>
      <w:proofErr w:type="gramEnd"/>
      <w:r w:rsidRPr="007B1E02">
        <w:t xml:space="preserve"> на основе муниципальных программ  Юрьевецкого муниципального района».</w:t>
      </w:r>
    </w:p>
    <w:p w:rsidR="00070931" w:rsidRPr="007B1E02" w:rsidRDefault="00070931" w:rsidP="007B1E0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3. Отменить с 01.01.2024 года  Постановления администрации Юрьевецкого муниципального района:</w:t>
      </w:r>
    </w:p>
    <w:p w:rsidR="00070931" w:rsidRPr="007B1E02" w:rsidRDefault="00070931" w:rsidP="007B1E02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от 23.09.2013 № 488 «Об утверждении методических указаний по разработке и реализации муниципальных программ Юрьевецкого муниципального района»;</w:t>
      </w:r>
    </w:p>
    <w:p w:rsidR="00070931" w:rsidRPr="007B1E02" w:rsidRDefault="00070931" w:rsidP="007B1E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от 23.09.2023 №487 «О переходе к формированию бюджета Юрьевецкого муниципального района на основе муниципальных программ Юрьевецкого муниципального района»;</w:t>
      </w:r>
    </w:p>
    <w:p w:rsidR="00070931" w:rsidRPr="007B1E02" w:rsidRDefault="00070931" w:rsidP="007B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от 26.01.2016 №7 «О внесении изменения в постановление администрации Юрьевецкого  муниципального района от 23.09.2013 № 487 «О переходе к формированию бюджета Юрьевецкого муниципального района на основе муниципальных программ  Юрьевецкого муниципального района»;</w:t>
      </w:r>
    </w:p>
    <w:p w:rsidR="00070931" w:rsidRPr="007B1E02" w:rsidRDefault="00070931" w:rsidP="007B1E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от 26.01.2023 №6 «О внесении изменения в постановление администрации Юрьевецкого муниципального района от 23.09.2013 № 488 «Об утверждении Методических </w:t>
      </w:r>
      <w:r w:rsidRPr="007B1E02">
        <w:rPr>
          <w:rFonts w:ascii="Times New Roman" w:hAnsi="Times New Roman" w:cs="Times New Roman"/>
          <w:sz w:val="24"/>
          <w:szCs w:val="24"/>
        </w:rPr>
        <w:lastRenderedPageBreak/>
        <w:t>указаний по разработке и реализации муниципальных программ Юрьевецкого муниципального района</w:t>
      </w:r>
      <w:r w:rsidRPr="007B1E02">
        <w:rPr>
          <w:rFonts w:ascii="Times New Roman" w:hAnsi="Times New Roman" w:cs="Times New Roman"/>
          <w:bCs/>
          <w:sz w:val="24"/>
          <w:szCs w:val="24"/>
        </w:rPr>
        <w:t>»;</w:t>
      </w:r>
    </w:p>
    <w:p w:rsidR="00070931" w:rsidRPr="007B1E02" w:rsidRDefault="00070931" w:rsidP="007B1E02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ab/>
        <w:t>от 18.05.2023 №161 «О внесении изменения в постановление администрации Юрьевецкого  муниципального района от 23.09.2013 № 487 «О переходе к формированию бюджета Юрьевецкого муниципального района на основе муниципальных программ  Юрьевецкого муниципального района»;</w:t>
      </w:r>
    </w:p>
    <w:p w:rsidR="00070931" w:rsidRPr="007B1E02" w:rsidRDefault="00070931" w:rsidP="007B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от 18.05.2023 №162 «О внесении изменения в постановление администрации Юрьевецкого муниципального района от 23.09.2013 № 488 «Об утверждении методических указаний по разработке и реализации муниципальных программ Юрьевецкого муниципального района».</w:t>
      </w:r>
    </w:p>
    <w:p w:rsidR="00070931" w:rsidRPr="007B1E02" w:rsidRDefault="00070931" w:rsidP="007B1E02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4 Управлению муниципальной службы, кадровой работы и архивного дела администрации Юрьевецкого муниципального района обнародовать настоящее постановление в соответствии с частью 10 статьи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070931" w:rsidRPr="007B1E02" w:rsidRDefault="00070931" w:rsidP="007B1E02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931" w:rsidRPr="007B1E02" w:rsidRDefault="00070931" w:rsidP="007B1E02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0931" w:rsidRPr="007B1E02" w:rsidRDefault="00070931" w:rsidP="007B1E0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Глава Юрьевецкого муниципального района</w:t>
      </w:r>
      <w:r w:rsidRPr="007B1E0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1E0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 w:rsidRPr="007B1E02">
        <w:rPr>
          <w:rFonts w:ascii="Times New Roman" w:hAnsi="Times New Roman" w:cs="Times New Roman"/>
          <w:sz w:val="24"/>
          <w:szCs w:val="24"/>
        </w:rPr>
        <w:t>С.В.Жубаркин</w:t>
      </w:r>
      <w:proofErr w:type="spellEnd"/>
    </w:p>
    <w:p w:rsidR="00070931" w:rsidRPr="007B1E02" w:rsidRDefault="00070931" w:rsidP="007B1E02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textAlignment w:val="baseline"/>
      </w:pPr>
    </w:p>
    <w:p w:rsidR="007B1E02" w:rsidRDefault="00070931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7B1E02">
        <w:br/>
      </w: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7B1E02" w:rsidRDefault="007B1E02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7B1E02">
        <w:br/>
      </w:r>
    </w:p>
    <w:p w:rsidR="00070931" w:rsidRPr="007B1E02" w:rsidRDefault="00070931" w:rsidP="007B1E02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B1E0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</w:p>
    <w:p w:rsidR="00070931" w:rsidRPr="007B1E02" w:rsidRDefault="00070931" w:rsidP="007B1E02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B1E02">
        <w:rPr>
          <w:rFonts w:ascii="Times New Roman" w:hAnsi="Times New Roman" w:cs="Times New Roman"/>
          <w:color w:val="auto"/>
          <w:sz w:val="24"/>
          <w:szCs w:val="24"/>
        </w:rPr>
        <w:t>к постановлению администрации</w:t>
      </w:r>
    </w:p>
    <w:p w:rsidR="00070931" w:rsidRPr="007B1E02" w:rsidRDefault="00070931" w:rsidP="007B1E02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B1E02">
        <w:rPr>
          <w:rFonts w:ascii="Times New Roman" w:hAnsi="Times New Roman" w:cs="Times New Roman"/>
          <w:color w:val="auto"/>
          <w:sz w:val="24"/>
          <w:szCs w:val="24"/>
        </w:rPr>
        <w:t>Юрьевецкого муниципального района</w:t>
      </w:r>
    </w:p>
    <w:p w:rsidR="00070931" w:rsidRPr="007B1E02" w:rsidRDefault="00070931" w:rsidP="007B1E02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B1E0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</w:t>
      </w:r>
      <w:r w:rsidR="007B1E02">
        <w:rPr>
          <w:rFonts w:ascii="Times New Roman" w:hAnsi="Times New Roman" w:cs="Times New Roman"/>
          <w:color w:val="auto"/>
          <w:sz w:val="24"/>
          <w:szCs w:val="24"/>
        </w:rPr>
        <w:t>от 13.06.2023 № 206</w:t>
      </w:r>
      <w:r w:rsidRPr="007B1E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B1E0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B1E02">
        <w:rPr>
          <w:rFonts w:ascii="Times New Roman" w:hAnsi="Times New Roman" w:cs="Times New Roman"/>
          <w:bCs/>
          <w:color w:val="auto"/>
          <w:sz w:val="24"/>
          <w:szCs w:val="24"/>
        </w:rPr>
        <w:br/>
        <w:t>Порядок разработки и реализации муниципальных программ Юрьевецкого муниципального района и Юрьевецкого городского поселения</w:t>
      </w:r>
    </w:p>
    <w:p w:rsidR="00070931" w:rsidRPr="007B1E02" w:rsidRDefault="00070931" w:rsidP="007B1E0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7B1E02">
        <w:rPr>
          <w:b w:val="0"/>
          <w:sz w:val="24"/>
          <w:szCs w:val="24"/>
        </w:rPr>
        <w:br/>
        <w:t>1. Общие положения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1.1. Настоящий Порядок устанавливает правила разработки, реализации, мониторинга и оценки муниципальных программ.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1.2. Муниципальная программа разрабатывается на срок не менее 3 лет.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1.3. Каждый структурный элемент и каждая задача структурного элемента должны быть связаны хотя бы с одним показателем муниципальной программы.</w:t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70931" w:rsidRPr="007B1E02" w:rsidRDefault="00070931" w:rsidP="007B1E02">
      <w:pPr>
        <w:pStyle w:val="3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7B1E02">
        <w:rPr>
          <w:b w:val="0"/>
          <w:sz w:val="24"/>
          <w:szCs w:val="24"/>
        </w:rPr>
        <w:t>2. Основные понятия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jc w:val="both"/>
        <w:textAlignment w:val="baseline"/>
      </w:pP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Для целей настоящего Порядка используются следующие понятия:</w:t>
      </w:r>
      <w:r w:rsidRPr="007B1E02">
        <w:br/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муниципальная программа - система мероприятий и инструментов, обеспечивающая достижение приоритетов и целей в соответствующей сфере социально-экономического развития Юрьевецкого муниципального района и Юрьевецкого городского поселения;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структурные элементы муниципальной программы - реализуемые в составе муниципальной программы региональные проекты, комплексы процессных мероприятий;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задач, реализуемых непрерывно либо на периодической основе;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ответственный исполнитель муниципальной программы - структурное подразделение Администрации Юрьевецкого муниципального района, отвечающее за разработку и реализацию муниципальной программы, координирующее деятельность соисполнителей и участников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соисполнители муниципальной программы - структурные подразделения Администрации Юрьевецкого муниципального района, отвечающие за разработку и реализацию региональных проектов и комплексов процессных мероприятий;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участники муниципальной программы - структурные подразделения Администрации Юрьевецкого муниципального района и организации, участвующие в реализации региональных проектов и комплексов процессных мероприятий;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задача структурного элемента муниципальной программы - итог деятельности, направленный на достижение изменений в социально-экономической сфере;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показатель муниципальной программы - количественно измеримый показатель, характеризующий достижение целей муниципальной программы и отражающий конечные общественно значимые социально-экономические эффекты от реализации муниципальной программы.</w:t>
      </w:r>
    </w:p>
    <w:p w:rsidR="00070931" w:rsidRPr="007B1E02" w:rsidRDefault="00070931" w:rsidP="007B1E02">
      <w:pPr>
        <w:pStyle w:val="3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7B1E02">
        <w:rPr>
          <w:b w:val="0"/>
          <w:sz w:val="24"/>
          <w:szCs w:val="24"/>
        </w:rPr>
        <w:br/>
        <w:t>3. Структура муниципальной программы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jc w:val="both"/>
        <w:textAlignment w:val="baseline"/>
      </w:pP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lastRenderedPageBreak/>
        <w:t>Муниципальная программа должна содержать (в указанной последовательности) следующие разделы: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3.1. Стратегические приоритеты в сфере реализации муниципальной программы (текстовая часть).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3.2. Паспорт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3.3. Сведения о региональном проекте.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3.4. Паспорт комплекса процессных мероприятий.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3.5. Сведения о финансировании структурных элементов муниципальной программы.</w:t>
      </w:r>
      <w:r w:rsidRPr="007B1E02">
        <w:br/>
      </w:r>
    </w:p>
    <w:p w:rsidR="00070931" w:rsidRPr="007B1E02" w:rsidRDefault="00070931" w:rsidP="007B1E02">
      <w:pPr>
        <w:pStyle w:val="3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7B1E02">
        <w:rPr>
          <w:b w:val="0"/>
          <w:sz w:val="24"/>
          <w:szCs w:val="24"/>
        </w:rPr>
        <w:t>4. Требования к содержанию муниципальной программы</w:t>
      </w:r>
    </w:p>
    <w:p w:rsidR="00070931" w:rsidRPr="007B1E02" w:rsidRDefault="00070931" w:rsidP="007B1E02">
      <w:pPr>
        <w:pStyle w:val="3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4.1. Раздел 1. Стратегические приоритеты в сфере реализации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В рамках оценки текущего состояния соответствующей сферы социально-экономического развития приводится анализ ее действительного состояния, включая выявление основных проблем, прогноз развития сферы реализации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сфере, выявление потенциала развития анализируемой сферы и существующих ограничений в сфере реализации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Характеристика текущего состояния сферы реализации муниципальной программы может содержать основные показатели уровня развития соответствующей сферы социально-экономического развития в динамике за ряд лет (не более 3 лет).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4.2. Раздел 2. Паспорт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Составляется по форме согласно приложению N 1 к настоящему Порядку.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 xml:space="preserve">4.2.1. </w:t>
      </w:r>
      <w:proofErr w:type="gramStart"/>
      <w:r w:rsidRPr="007B1E02">
        <w:t>В подразделе "Основные положения" отражается основная информация о муниципальной программе, в том числе сведения об ответственном исполнителе, периоде (этапе) реализации, цели (целях) муниципальной программы, объемах финансового обеспечения.</w:t>
      </w:r>
      <w:proofErr w:type="gramEnd"/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Цель (цели) муниципальной программы должна соответствовать сфере реализации муниципальной программы и отражать конечные результаты реализации муниципальной программы. Формулировка цели (целей) должна быть лаконичной, краткой и ясной и не должна содержать специальных терминов, указаний на иные цели, а также описания путей, средств и методов достижения цели (целей).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В паспорте указывается также период реализации муниципальной программы. В случае если предполагается поэтапная реализация муниципальной программы, должны быть описаны ее этапы: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с начала реализации муниципальной программы и до момента начала этапа реализации муниципальной программы в соответствии с настоящим Порядком;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с начала реализации муниципальной программы в соответствии с настоящим Порядком и до окончания реализации этапа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4.2.2. В подразделе "Показатели реализации комплекса процессных мероприятий" в состав показателей муниципальной программы могут быть включены: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показатели из </w:t>
      </w:r>
      <w:hyperlink r:id="rId9" w:anchor="7DK0K8" w:history="1">
        <w:r w:rsidRPr="007B1E02">
          <w:rPr>
            <w:rStyle w:val="a3"/>
            <w:color w:val="auto"/>
            <w:u w:val="none"/>
          </w:rPr>
          <w:t>перечня показателей для оценки эффективности деятельности органов местного самоуправления муниципальных, городских округов и муниципальных районов</w:t>
        </w:r>
      </w:hyperlink>
      <w:r w:rsidRPr="007B1E02">
        <w:t>, утвержденного </w:t>
      </w:r>
      <w:hyperlink r:id="rId10" w:anchor="7D20K3" w:history="1">
        <w:r w:rsidRPr="007B1E02">
          <w:rPr>
            <w:rStyle w:val="a3"/>
            <w:color w:val="auto"/>
            <w:u w:val="none"/>
          </w:rPr>
          <w:t>Указом Президента Российской Федерации от 28.04.2008 N 607</w:t>
        </w:r>
      </w:hyperlink>
      <w:r w:rsidRPr="007B1E02">
        <w:t>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основные и дополнительные показатели региональных проектов, реализация которых предусмотрена в муниципальной программе, относящиеся к сфере реализации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lastRenderedPageBreak/>
        <w:t>- показатели, характеризующие достижение цели (целей) муниципальной программы и отражающие конечные общественно значимые социально-экономические эффекты от реализации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Количество показателей муниципальной программы определяется исходя из необходимости и достаточности для оценки достижения цели (целей) муниципальной программы. Показатели муниципальной программы должны соответствовать следующим требованиям: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7B1E02">
        <w:t>- количественно (в процентах, долях, условных единицах и т.д.) и (или) в отдельных случаях качественно (да/нет, наличие/отсутствие и т.д.) характеризовать ход реализации и достижение цели (целей) муниципальной программы;</w:t>
      </w:r>
      <w:proofErr w:type="gramEnd"/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отражать специфику развития соответствующей сферы социально-экономического развития;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иметь запланированные по годам (этапам) реализации муниципальной программы количественные значения с отражением данных базового периода и планового периода;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определяться на основе данных государственного статистического наблюдения, ведомственной информации с представлением сведений об утвержденных формах отчетности, результатов опросов (изучения общественного мнения).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7B1E02">
        <w:t>Показатели муниципальной программы, по которым данные об их достижении отсутствуют по состоянию на 15 июля года, следующего за отчетным годом, не могут быть включены в муниципальную программу (за исключением случаев, когда показатели указаны в соглашении о предоставлении субсидий и (или) иных межбюджетных трансфертов из областного бюджета бюджету Юрьевецкого муниципального района или бюджету Юрьевецкого городского поселения).</w:t>
      </w:r>
      <w:proofErr w:type="gramEnd"/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4.2.3. В подразделе "Структура муниципальной программы" приводится информация о реализуемых в составе муниципальной программы региональных проектах и комплексах процессных мероприятий.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Для каждого структурного элемента приводятся задачи, решение которых обеспечивается реализацией структурного элемента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Каждый структурный элемент и каждая задача структурного элемента должны быть связаны хотя бы с одним показателем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4.2.4. В подразделе "Финансовое обеспечение муниципальной программы" планирование финансового обеспечения реализации муниципальной программы осуществляется по годам (этапам) реализации с указанием источников финансового обеспечения.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4.3. Раздел 3. Сведения о региональном проекте.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Раздел заполняется по форме согласно приложению N 2 к настоящему Порядку.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4.4. Раздел 4. Паспорт комплекса процессных мероприятий.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Раздел заполняется по форме согласно приложению N 3 к настоящему Порядку. Если в муниципальной программе предусмотрено несколько комплексов процессных мероприятий, то для каждого комплекса процессных мероприятий разрабатывается свой паспорт.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В каждом комплексе процессных мероприятий должно быть предусмотрено не менее одного показателя, за исключением комплекса процессных мероприятий, включающего мероприятия по обеспечению деятельности (содержанию) ответственного исполнителя муниципальной программы.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4.5. Раздел 5. Сведения о финансировании структурных элементов муниципальной программы.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Раздел составляется по форме согласно приложению N 4 к настоящему Порядку.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Финансирование отражается по всем структурным элементам муниципальной программы.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Мероприятия комплекса процессных мероприятий не могут дублировать мероприятия других комплексов процессных мероприятий муниципальной программы.</w:t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70931" w:rsidRPr="007B1E02" w:rsidRDefault="00070931" w:rsidP="007B1E0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5. Основание и этапы разработки муниципальной программы</w:t>
      </w:r>
    </w:p>
    <w:p w:rsidR="00070931" w:rsidRPr="007B1E02" w:rsidRDefault="00070931" w:rsidP="007B1E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5.1. Разработка муниципальных программ осуществляется исполнителем муниципальной программы, на основании перечня муниципальных программ Юрьевецкого муниципального района и Юрьевецкого городского поселения (далее - Перечень программ), который утверждается распоряжением Администрации Юрьевецкого муниципального района в разрезе муниципальных образований </w:t>
      </w:r>
      <w:r w:rsidR="007B1E02" w:rsidRPr="007B1E02">
        <w:rPr>
          <w:rFonts w:ascii="Times New Roman" w:hAnsi="Times New Roman" w:cs="Times New Roman"/>
          <w:sz w:val="24"/>
          <w:szCs w:val="24"/>
          <w:lang w:eastAsia="ru-RU"/>
        </w:rPr>
        <w:t>соответственно</w:t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7B1E02">
        <w:rPr>
          <w:rFonts w:ascii="Times New Roman" w:hAnsi="Times New Roman" w:cs="Times New Roman"/>
          <w:sz w:val="24"/>
          <w:szCs w:val="24"/>
          <w:lang w:eastAsia="ru-RU"/>
        </w:rPr>
        <w:t>Проект Перечня программ формируется  отраслевым подразделением администрации Юрьевецкого муниципального района -  Управлением архитектуры, строительства и развития инфраструктуры (далее - Управление  развития инфраструктуры) с учетом документов стратегического характера, принятых на федеральном, областном и местном уровнях, а также предложений структурных подразделений Администрации Юрьевецкого муниципального района, согласованных с Главой Юрьевецкого муниципального района, или первым заместителем Главы Юрьевецкого муниципального района, или заместителем Главы Юрьевецкого муниципального района</w:t>
      </w:r>
      <w:proofErr w:type="gramEnd"/>
      <w:r w:rsidRPr="007B1E02">
        <w:rPr>
          <w:rFonts w:ascii="Times New Roman" w:hAnsi="Times New Roman" w:cs="Times New Roman"/>
          <w:sz w:val="24"/>
          <w:szCs w:val="24"/>
          <w:lang w:eastAsia="ru-RU"/>
        </w:rPr>
        <w:t>, курирующим деятельность структурного подразделения Администрации Юрьевецкого муниципального района, выступающего ответственным исполнителем муниципальной программы (далее - куратор).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5.3. Внесение изменений в Перечень программ осуществляется Управлением  развития инфраструктуры на основании поступивших предложений от ответственных исполнителей, согласованных с куратором, и оформляется распоряжением Администрации Юрьевецкого муниципального района.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5.4. Перечень программ содержит: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- наименование муниципальной программы;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- наименование ответственного исполнителя муниципальной программы.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Перечень программ размещается на официальном сайте Администрации Юрьевецкого муниципального района.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7B1E02">
        <w:rPr>
          <w:rFonts w:ascii="Times New Roman" w:hAnsi="Times New Roman" w:cs="Times New Roman"/>
          <w:sz w:val="24"/>
          <w:szCs w:val="24"/>
          <w:lang w:eastAsia="ru-RU"/>
        </w:rPr>
        <w:t>На основании утвержденного Перечня программ ответственный исполнитель муниципальной программы совместно с соисполнителями и участниками муниципальной программы разрабатывает проект муниципальной программы и в срок до 1 сентября года, предшествующего планируемому году, направляет его в Управление  развития инфраструктуры и Финансовый отдел администрации Юрьевецкого муниципального района (далее – Финансовый отел) для проведения оценки и подготовки заключений.</w:t>
      </w:r>
      <w:proofErr w:type="gramEnd"/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5.6. Оценка проекта муниципальной программы и подготовка заключений осуществляются структурными подразделениями Администрации Юрьевецкого муниципального района, указанными в пункте 5.5 настоящего Порядка, в течение 15 календарных дней с момента его представления.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5.7. Управление  развития инфраструктуры проводит оценку проекта муниципальной программы и готовит заключение о: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B1E02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структуры и содержания проекта муниципальной программы требованиям, определенным в разделе 4 настоящего Порядка;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B1E02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 целей, показателей муниципальной программы приоритетам социально-экономического развития Юрьевецкого муниципального района и Юрьевецкого городского поселения;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B1E02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структурных элементов муниципальной программы заявленным целям.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7B1E02">
        <w:rPr>
          <w:rFonts w:ascii="Times New Roman" w:hAnsi="Times New Roman" w:cs="Times New Roman"/>
          <w:sz w:val="24"/>
          <w:szCs w:val="24"/>
          <w:lang w:eastAsia="ru-RU"/>
        </w:rPr>
        <w:t>Финансовый отдел проводит оценку проекта муниципальной программы и готовит заключение в части финансового обеспечения муниципальной программы в разрезе структурных элементов, по годам реализации и источникам финансирования, а также в отношении применения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  <w:proofErr w:type="gramEnd"/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5.9. В заключениях структурных подразделений Администрации Юрьевецкого муниципального района, указанных в пункте 5.5 настоящего Порядка, должен содержаться вывод о соответствии проекта муниципальной программы требованиям настоящего Порядка или о его доработке с учетом замечаний ответственному исполнителю муниципальной программы.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Указанные структурные подразделения направляют свои заключения ответственному исполнителю муниципальной программы.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5.10. </w:t>
      </w:r>
      <w:proofErr w:type="gramStart"/>
      <w:r w:rsidRPr="007B1E02">
        <w:rPr>
          <w:rFonts w:ascii="Times New Roman" w:hAnsi="Times New Roman" w:cs="Times New Roman"/>
          <w:sz w:val="24"/>
          <w:szCs w:val="24"/>
          <w:lang w:eastAsia="ru-RU"/>
        </w:rPr>
        <w:t>В случае если в заключениях одного из структурных подразделений Администрации Юрьевецкого муниципального района, указанных в пункте 5.5 настоящего Порядка, содержится вывод о доработке проекта муниципальной программы, ответственный исполнитель муниципальной программы дорабатывает проект муниципальной программы в течение 5 рабочих дней с момента получения всех заключений и возвращает его для повторного рассмотрения в структурное подразделение, которое направило проект муниципальной программы на доработку.</w:t>
      </w:r>
      <w:proofErr w:type="gramEnd"/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5.11. В случае если по замечаниям одного из структурных подразделений Администрации Юрьевецкого муниципального района, указанных в пункте 5.5 настоящего Порядка, вносятся изменения, касающиеся предмет</w:t>
      </w:r>
      <w:proofErr w:type="gramStart"/>
      <w:r w:rsidRPr="007B1E02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B1E02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B1E02">
        <w:rPr>
          <w:rFonts w:ascii="Times New Roman" w:hAnsi="Times New Roman" w:cs="Times New Roman"/>
          <w:sz w:val="24"/>
          <w:szCs w:val="24"/>
          <w:lang w:eastAsia="ru-RU"/>
        </w:rPr>
        <w:t>) заключения другого из указанных в пункте 5.5 настоящего Порядка структурных подразделений, доработанный проект муниципальной программы направляется также и в это структурное подразделение для повторной оценки и подготовки заключения.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5.12. </w:t>
      </w:r>
      <w:proofErr w:type="gramStart"/>
      <w:r w:rsidRPr="007B1E02">
        <w:rPr>
          <w:rFonts w:ascii="Times New Roman" w:hAnsi="Times New Roman" w:cs="Times New Roman"/>
          <w:sz w:val="24"/>
          <w:szCs w:val="24"/>
          <w:lang w:eastAsia="ru-RU"/>
        </w:rPr>
        <w:t>В случае несогласия ответственного исполнителя муниципальной программы с заключениями структурных подразделений Администрации Юрьевецкого муниципального района, указанных в пункте 5.5 настоящего Порядка, о доработке проекта муниципальной программы ответственный исполнитель муниципальной программы вправе направить проект муниципальной программы и заключения, указанные в пункте 5.11 настоящего Порядка на рассмотрение в комиссию по рассмотрению вопросов, связанных с разработкой, формированием, реализацией муниципальных программ и проведением оценки</w:t>
      </w:r>
      <w:proofErr w:type="gramEnd"/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 их эффективности (далее - Комиссия).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5.13. По результатам рассмотрения указанных заключений и предложений Комиссия принимает одно из следующих решений: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- одобрить проект муниципальной программы к утверждению;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- направить проект муниципальной программы на доработку.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5.14. Направленный на доработку проект муниципальной программы ответственный исполнитель муниципальной программы дорабатывает.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5.15. Муниципальные программы утверждаются постановлением Администрации Юрьевецкого муниципального района в срок до 1 ноября года, предшествующего планируемому году.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5.16. Внесение изменений в муниципальную программу осуществляется ответственным исполнителем муниципальной программы.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5.17. Ответственный исполнитель муниципальной программы подготавливает предложения по внесению изменений в муниципальную программу, пояснительную записку с обоснованием причин внесения указанных изменений, финансово-экономическое обоснование и направляет в Финансовый отдел (в случае изменения объемов финансирования) и Управление  развития инфраструктуры для рассмотрения и подготовки положительного заключения или рекомендаций по внесению изменений в муниципальную программу.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>5.18. Финансовый отдел в течение 5 рабочих дней с момента представления предложений по внесению изменений в муниципальную программу рассматривает их в части финансирования.</w:t>
      </w: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рассмотрения предложений по внесению изменений в муниципальную программу Финансовый отдел подготавливает положительное заключение или </w:t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рекомендации по внесению изменений в муниципальную программу и направляет их ответственному исполнителю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5.19. Управление  развития инфраструктуры в течение 5 рабочих дней с момента представления предложений по внесению изменений в муниципальную программу рассматривает их на соответствие приоритетам социально-экономического развития Юрьевецкого муниципального района и Юрьевецкого городского поселения, соответствие структурных элементов муниципальной программы заявленным целям.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По итогам рассмотрения предложений по внесению изменений в муниципальную программу Управление  развития инфраструктуры подготавливает положительное заключение или рекомендации по внесению изменений в муниципальную программу и направляет их ответственному исполнителю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5.20. При наличии положительных заключений или согласия ответственного исполнителя муниципальной программы с рекомендациями по внесению изменений в муниципальную программу Финансового отдела и Управление  развития инфраструктуры ответственный исполнитель муниципальной программы подготавливает проект постановления о внесении изменений в муниципальную программу (далее - проект постановления) на утверждение в Администрацию Юрьевецкого муниципального района.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5.21. В случае несогласия ответственного исполнителя муниципальной программы с рекомендациями по внесению изменений в муниципальную программу Управление  развития инфраструктуры и (или) Финансового отдела решение о внесении изменений в муниципальную программу принимается Комиссией и оформляется протоколом.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5.22. Внесение изменений в муниципальную программу утверждается постановлением Администрации Юрьевецкого муниципального района не позднее 3 месяцев со дня опубликования решения о внесении изменений в бюджет Юрьевецкого муниципального района на текущий финансовый год и плановый период.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7B1E02">
        <w:t>Внесение изменений в муниципальную программу в соответствии с  Положениями о бюджетном процессе в Юрьевецком муниципальном районе, утвержденного решением Совета Юрьевецкого муниципального района от 26.10.2011 №88, о бюджетном процессе в Юрьевецком городском поселении, утвержденного решением Совета Юрьевецкого городского поселения района от 25.02.2016 №10, без внесения изменений в решение о бюджете муниципального образования является основанием для внесения изменений в сводную бюджетную роспись.</w:t>
      </w:r>
      <w:proofErr w:type="gramEnd"/>
    </w:p>
    <w:p w:rsidR="00070931" w:rsidRPr="007B1E02" w:rsidRDefault="00070931" w:rsidP="007B1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5.23. </w:t>
      </w:r>
      <w:proofErr w:type="gramStart"/>
      <w:r w:rsidRPr="007B1E02">
        <w:rPr>
          <w:rFonts w:ascii="Times New Roman" w:hAnsi="Times New Roman" w:cs="Times New Roman"/>
          <w:sz w:val="24"/>
          <w:szCs w:val="24"/>
        </w:rPr>
        <w:t>В случае внесения в муниципальную программу изменений, не связанных с финансированием муниципальной программы, изменением состава и значений показателей муниципальной программы, ответственный исполнитель муниципальной программы подготавливает проект муниципального правового акта о внесении соответствующих изменений и направляет его на согласование (визирование) в соответствии с  Порядком  подготовки, оформления, издания  и согласования постановлений и распоряжений администрации Юрьевецкого муниципального района, утвержденным распоряжением Администрации Юрьевецкого муниципального</w:t>
      </w:r>
      <w:proofErr w:type="gramEnd"/>
      <w:r w:rsidRPr="007B1E02">
        <w:rPr>
          <w:rFonts w:ascii="Times New Roman" w:hAnsi="Times New Roman" w:cs="Times New Roman"/>
          <w:sz w:val="24"/>
          <w:szCs w:val="24"/>
        </w:rPr>
        <w:t xml:space="preserve"> района  </w:t>
      </w:r>
      <w:hyperlink r:id="rId11" w:history="1">
        <w:r w:rsidRPr="007B1E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13.03.2016 N 96</w:t>
        </w:r>
      </w:hyperlink>
      <w:r w:rsidRPr="007B1E02">
        <w:rPr>
          <w:rFonts w:ascii="Times New Roman" w:hAnsi="Times New Roman" w:cs="Times New Roman"/>
          <w:sz w:val="24"/>
          <w:szCs w:val="24"/>
        </w:rPr>
        <w:t>.</w:t>
      </w:r>
    </w:p>
    <w:p w:rsidR="00070931" w:rsidRPr="007B1E02" w:rsidRDefault="00070931" w:rsidP="007B1E02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6. Финансовое обеспечение реализации муниципальной программы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6.1. Финансовое обеспечение реализации муниципальной программы осуществляется за счет средств местного бюджете, средств федерального бюджета, областного бюджета, бюджетов поселений, входящих в состав Юрьевецкого муниципального района и внебюджетных средств.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6.2. Объем финансового обеспечения на реализацию муниципальной программы (за исключением муниципальной программы, предусматривающей этапы реализации, выходящие за пределы текущего финансового года) подлежит ежегодному уточнению в рамках подготовки проектов решений Советов Юрьевецкого муниципального района и Юрьевецкого городского поселения о бюджете на очередной финансовый год и плановый период.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70931" w:rsidRPr="007B1E02" w:rsidRDefault="00070931" w:rsidP="007B1E02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</w:rPr>
      </w:pPr>
      <w:r w:rsidRPr="007B1E02">
        <w:rPr>
          <w:b w:val="0"/>
          <w:bCs w:val="0"/>
          <w:sz w:val="24"/>
          <w:szCs w:val="24"/>
        </w:rPr>
        <w:lastRenderedPageBreak/>
        <w:t xml:space="preserve">7. Управление и </w:t>
      </w:r>
      <w:proofErr w:type="gramStart"/>
      <w:r w:rsidRPr="007B1E02">
        <w:rPr>
          <w:b w:val="0"/>
          <w:bCs w:val="0"/>
          <w:sz w:val="24"/>
          <w:szCs w:val="24"/>
        </w:rPr>
        <w:t>контроль за</w:t>
      </w:r>
      <w:proofErr w:type="gramEnd"/>
      <w:r w:rsidRPr="007B1E02">
        <w:rPr>
          <w:b w:val="0"/>
          <w:bCs w:val="0"/>
          <w:sz w:val="24"/>
          <w:szCs w:val="24"/>
        </w:rPr>
        <w:t xml:space="preserve"> реализацией муниципальной программы</w:t>
      </w:r>
    </w:p>
    <w:p w:rsidR="00070931" w:rsidRPr="007B1E02" w:rsidRDefault="00070931" w:rsidP="007B1E02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</w:rPr>
      </w:pP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7.1. Муниципальная программа подлежит ежегодной корректировке.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7.2. Управление и контроль (мониторинг) за реализацией муниципальной программы осуществляются путем формирования  сведений о ходе реализации и оценке эффективности муниципальной программы (далее - Сведения).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7.3. Сведения формируются ответственным исполнителем муниципальной программы ежегодно с разбивкой по кварталам.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 xml:space="preserve">7.4. Ответственный исполнитель муниципальной программы ежеквартально </w:t>
      </w:r>
      <w:proofErr w:type="gramStart"/>
      <w:r w:rsidRPr="007B1E02">
        <w:t xml:space="preserve">( </w:t>
      </w:r>
      <w:proofErr w:type="gramEnd"/>
      <w:r w:rsidRPr="007B1E02">
        <w:t>3, 6, 9,12 месяцев ) направляет в Управление  развития инфраструктуры до 20 числа месяца, следующего за отчетным периодом, Сведения о выполнении муниципальной программы по форме согласно приложению N 5 к настоящему Порядку.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 xml:space="preserve">7.5. Управление  развития инфраструктуры анализирует Сведения о выполнении муниципальной программы путем сопоставления фактических и плановых значений и причин, повлиявших на </w:t>
      </w:r>
      <w:proofErr w:type="spellStart"/>
      <w:r w:rsidRPr="007B1E02">
        <w:t>недостижение</w:t>
      </w:r>
      <w:proofErr w:type="spellEnd"/>
      <w:r w:rsidRPr="007B1E02">
        <w:t xml:space="preserve"> плановых значений результатов региональных проектов и показателей реализации комплексов процессных мероприятий (далее - показатели структурных элементов).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 xml:space="preserve">Выполненными считаются показатели структурных элементов, фактическое значение которых по отношению </w:t>
      </w:r>
      <w:proofErr w:type="gramStart"/>
      <w:r w:rsidRPr="007B1E02">
        <w:t>к</w:t>
      </w:r>
      <w:proofErr w:type="gramEnd"/>
      <w:r w:rsidRPr="007B1E02">
        <w:t xml:space="preserve"> запланированному на соответствующий период составляет: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в сведениях за 3 месяца допускается значение 0%;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в отчете за 6 и 9 месяцев - не менее 60%;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в отчете за 12 месяцев - не менее 95%.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7.6. Сводную информацию по итогам анализа Управление  развития инфраструктуры размещает на официальном сайте Администрации Юрьевецкого муниципального района  в информационно-телекоммуникационной сети "Интернет".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 xml:space="preserve">7.7. Ежегодно ответственный исполнитель муниципальной программы подготавливает годовой отчет и в срок до 1 марта года, следующего за </w:t>
      </w:r>
      <w:proofErr w:type="gramStart"/>
      <w:r w:rsidRPr="007B1E02">
        <w:t>отчетным</w:t>
      </w:r>
      <w:proofErr w:type="gramEnd"/>
      <w:r w:rsidRPr="007B1E02">
        <w:t>, направляет в Управление  развития инфраструктуры.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7B1E02">
        <w:t>В случае отсутствия по состоянию на 1 марта года, следующего за отчетным, данных государственного статистического наблюдения о достижении плановых значений показателей структурных элементов муниципальной программы ответственный исполнитель муниципальной программы в срок до 15 июля года, следующего за отчетным, направляет дополнительную информацию к годовому отчету о достижении плановых значений указанных показателей.</w:t>
      </w:r>
      <w:proofErr w:type="gramEnd"/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В случае реализации муниципальной программы по этапам, выходящим за пределы финансового года, ответственный исполнитель подготавливает годовой отчет по окончании очередного этапа реализации и в срок до 15 июля года, следующего за периодом окончания этапа, направляет информацию в Управление  развития инфраструктуры.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7.8. Годовой отчет должен содержать информацию: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 достижении уровня плановых значений показателей муниципальной программы, показателей реализации комплексов процессных мероприятий, значений результатов региональных проектов;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 финансировании муниципальной программы.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Подготовка годового отчета производится в порядке и в соответствии с формами, утвержденными постановлением Администрации Юрьевецкого муниципального района.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 xml:space="preserve">7.9. Управление  развития инфраструктуры в срок до 30 марта года, следующего за </w:t>
      </w:r>
      <w:proofErr w:type="gramStart"/>
      <w:r w:rsidRPr="007B1E02">
        <w:t>отчетным</w:t>
      </w:r>
      <w:proofErr w:type="gramEnd"/>
      <w:r w:rsidRPr="007B1E02">
        <w:t>, проводит анализ годовых отчетов и подготавливает сводную информацию о результатах анализа.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7.10. Годовой отчет подлежит рассмотрению на заседании Комиссии.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center"/>
        <w:textAlignment w:val="baseline"/>
      </w:pPr>
      <w:r w:rsidRPr="007B1E02">
        <w:br/>
      </w:r>
      <w:r w:rsidRPr="007B1E02">
        <w:br/>
      </w:r>
      <w:r w:rsidRPr="007B1E02">
        <w:lastRenderedPageBreak/>
        <w:t>8. Полномочия ответственного исполнителя, соисполнителей и исполнителей муниципальной программы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textAlignment w:val="baseline"/>
      </w:pP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8.1. Ответственный исполнитель муниципальной программы: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определяет соисполнителей, обеспечивает разработку муниципальной программы, ее согласование и утверждение;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формирует структуру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показателей муниципальной программы, показателей реализации комплекса процессных мероприятий, значений результатов региональных проектов;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координирует деятельность соисполнителей в процессе разработки и реализации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осуществляет мониторинг реализации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осуществляет подготовку сведений, необходимых для мониторинга реализации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запрашивает у соисполнителей информацию, необходимую для подготовки отчета о ходе реализации и оценке эффективности реализации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формирует годовой отчет и представляет его в Управление  развития инфраструктуры;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размещает в информационной системе стратегического планирования отчетную информацию о реализации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проводит работу по размещению актуальной версии муниципальной программы на официальном сайте Администрации Юрьевецкого муниципального района.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8.2. Соисполнитель муниципальной программы: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определяет участников структурного элемента муниципальной программы, обеспечивает его разработку и согласование с ответственным исполнителем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принимает решение о внесении изменений в структурные элементы муниципальной программы и согласовывает их с ответственным исполнителем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несет ответственность за достижение показателей реализации комплексов процессных мероприятий, значений результатов региональных проектов;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подготавливает и направляет отчеты о ходе реализации и оценке эффективности реализации структурного элемента муниципальной программы ответственному исполнителю муниципальной программы;</w:t>
      </w:r>
    </w:p>
    <w:p w:rsidR="00070931" w:rsidRPr="007B1E02" w:rsidRDefault="00070931" w:rsidP="007B1E0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B1E02">
        <w:t>- запрашивает у участников муниципальной программы информацию, необходимую для подготовки отчета о ходе реализации и оценке эффективности реализации структурного элемента муниципальной программы.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8.3. Участник муниципальной программы: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- участвует в разработке структурных элементов муниципальной программы;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- осуществляет реализацию мероприятий комплекса процессных мероприятий, выполнение результатов региональных проектов;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- представляет соисполнителю муниципальной программы в установленный им срок информацию о ходе реализации муниципальной программы и иную информацию, необходимую для подготовки годового отчета, оценки эффективности реализации муниципальной программы, сведений о выполнении плана-графика, сведений мониторинга реализации муниципальной программы;</w:t>
      </w:r>
    </w:p>
    <w:p w:rsidR="00070931" w:rsidRPr="007B1E02" w:rsidRDefault="00070931" w:rsidP="007B1E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1E02">
        <w:t>- несет ответственность за достижение показателей реализации комплекса процессных мероприятий, значений результатов региональных проектов.</w:t>
      </w:r>
    </w:p>
    <w:p w:rsidR="00070931" w:rsidRDefault="00070931" w:rsidP="007B1E0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E02" w:rsidRPr="007B1E02" w:rsidRDefault="007B1E02" w:rsidP="007B1E0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B1E02">
        <w:rPr>
          <w:rFonts w:ascii="Times New Roman" w:hAnsi="Times New Roman" w:cs="Times New Roman"/>
          <w:sz w:val="24"/>
          <w:szCs w:val="24"/>
        </w:rPr>
        <w:t>разработки и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gramStart"/>
      <w:r w:rsidRPr="007B1E0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7B1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программ Юрьевецкого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  <w:t>Форма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8"/>
        <w:gridCol w:w="3471"/>
      </w:tblGrid>
      <w:tr w:rsidR="007B1E02" w:rsidRPr="007B1E02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 "Наименование"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ОСНОВНЫЕ ПОЛОЖЕНИЯ</w:t>
            </w:r>
          </w:p>
        </w:tc>
      </w:tr>
      <w:tr w:rsidR="007B1E02" w:rsidRPr="007B1E02">
        <w:trPr>
          <w:trHeight w:val="510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(этапы) реализации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931" w:rsidRPr="007B1E02"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931" w:rsidRPr="007B1E02" w:rsidRDefault="00070931" w:rsidP="007B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1759"/>
        <w:gridCol w:w="765"/>
        <w:gridCol w:w="723"/>
        <w:gridCol w:w="587"/>
        <w:gridCol w:w="1788"/>
        <w:gridCol w:w="102"/>
        <w:gridCol w:w="1427"/>
        <w:gridCol w:w="1246"/>
        <w:gridCol w:w="185"/>
        <w:gridCol w:w="98"/>
      </w:tblGrid>
      <w:tr w:rsidR="007B1E02" w:rsidRPr="007B1E02">
        <w:trPr>
          <w:gridAfter w:val="2"/>
          <w:wAfter w:w="283" w:type="dxa"/>
        </w:trPr>
        <w:tc>
          <w:tcPr>
            <w:tcW w:w="90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ПОКАЗАТЕЛИ РЕАЛИЗАЦИИ КОМПЛЕКСА ПРОЦЕССНЫХ МЕРОПРИЯТИЙ</w:t>
            </w:r>
          </w:p>
        </w:tc>
      </w:tr>
      <w:tr w:rsidR="007B1E02" w:rsidRPr="007B1E02">
        <w:trPr>
          <w:trHeight w:val="1412"/>
        </w:trPr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реализации, единица измерения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4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7B1E02" w:rsidRPr="007B1E02">
        <w:tc>
          <w:tcPr>
            <w:tcW w:w="2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7B1E02" w:rsidRPr="007B1E02"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1E02" w:rsidRPr="007B1E02"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rPr>
          <w:gridAfter w:val="1"/>
          <w:wAfter w:w="98" w:type="dxa"/>
          <w:trHeight w:val="15"/>
        </w:trPr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rPr>
          <w:gridAfter w:val="1"/>
          <w:wAfter w:w="98" w:type="dxa"/>
        </w:trPr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СТРУКТУРА МУНИЦИПАЛЬНОЙ ПРОГРАММЫ</w:t>
            </w:r>
          </w:p>
        </w:tc>
      </w:tr>
      <w:tr w:rsidR="007B1E02" w:rsidRPr="007B1E02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показателями &lt;*&gt;</w:t>
            </w: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1E02" w:rsidRPr="007B1E02">
        <w:trPr>
          <w:trHeight w:val="38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"Наименование"</w:t>
            </w: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выполнение регионального проекта</w:t>
            </w:r>
          </w:p>
        </w:tc>
        <w:tc>
          <w:tcPr>
            <w:tcW w:w="5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6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"Наименование"</w:t>
            </w: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выполнение комплекса мероприятий</w:t>
            </w:r>
          </w:p>
        </w:tc>
        <w:tc>
          <w:tcPr>
            <w:tcW w:w="5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931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931" w:rsidRPr="007B1E02" w:rsidRDefault="00070931" w:rsidP="007B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31"/>
      </w:tblGrid>
      <w:tr w:rsidR="007B1E02" w:rsidRPr="007B1E02">
        <w:tc>
          <w:tcPr>
            <w:tcW w:w="9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 - указывается наименование показателя муниципальной программы, на достижение которого направлена задача</w:t>
            </w:r>
          </w:p>
        </w:tc>
      </w:tr>
      <w:tr w:rsidR="00070931" w:rsidRPr="007B1E02">
        <w:tc>
          <w:tcPr>
            <w:tcW w:w="9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ФИНАНСОВОЕ ОБЕСПЕЧЕНИЕ МУНИЦИПАЛЬНОЙ ПРОГРАММЫ</w:t>
            </w:r>
          </w:p>
        </w:tc>
      </w:tr>
    </w:tbl>
    <w:p w:rsidR="00070931" w:rsidRPr="007B1E02" w:rsidRDefault="00070931" w:rsidP="007B1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4"/>
        <w:gridCol w:w="1081"/>
        <w:gridCol w:w="1828"/>
        <w:gridCol w:w="1529"/>
        <w:gridCol w:w="1529"/>
      </w:tblGrid>
      <w:tr w:rsidR="007B1E02" w:rsidRPr="007B1E02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(этапам) реализации, тыс. рублей</w:t>
            </w:r>
          </w:p>
        </w:tc>
      </w:tr>
      <w:tr w:rsidR="007B1E02" w:rsidRPr="007B1E02">
        <w:tc>
          <w:tcPr>
            <w:tcW w:w="33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7B1E02" w:rsidRPr="007B1E02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1E02" w:rsidRPr="007B1E02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"Наименование" (всего), в том числе: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931" w:rsidRPr="007B1E02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931" w:rsidRPr="007B1E02" w:rsidRDefault="00070931" w:rsidP="007B1E02">
      <w:pPr>
        <w:pStyle w:val="4"/>
        <w:spacing w:before="0"/>
        <w:jc w:val="right"/>
        <w:textAlignment w:val="baseline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E02" w:rsidRDefault="007B1E02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E02" w:rsidRPr="007B1E02" w:rsidRDefault="007B1E02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B1E02">
        <w:rPr>
          <w:rFonts w:ascii="Times New Roman" w:hAnsi="Times New Roman" w:cs="Times New Roman"/>
          <w:sz w:val="24"/>
          <w:szCs w:val="24"/>
        </w:rPr>
        <w:t>разработки и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gramStart"/>
      <w:r w:rsidRPr="007B1E0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7B1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программ Юрьевецкого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муниципального района и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  <w:t>Форма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60"/>
        <w:gridCol w:w="4579"/>
      </w:tblGrid>
      <w:tr w:rsidR="007B1E02" w:rsidRPr="007B1E02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региональном проекте "Наименование"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ОБЩИЕ ПОЛОЖЕНИЯ</w:t>
            </w:r>
          </w:p>
        </w:tc>
      </w:tr>
      <w:tr w:rsidR="007B1E02" w:rsidRPr="007B1E02"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выполнение регионального проекта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931" w:rsidRPr="007B1E02"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"Наименование"</w:t>
            </w:r>
          </w:p>
        </w:tc>
      </w:tr>
    </w:tbl>
    <w:p w:rsidR="00070931" w:rsidRPr="007B1E02" w:rsidRDefault="00070931" w:rsidP="007B1E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3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5"/>
        <w:gridCol w:w="2139"/>
        <w:gridCol w:w="1788"/>
        <w:gridCol w:w="1529"/>
        <w:gridCol w:w="1529"/>
      </w:tblGrid>
      <w:tr w:rsidR="007B1E02" w:rsidRPr="007B1E0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ЗНАЧЕНИЯ РЕЗУЛЬТАТОВ РЕГИОНАЛЬНОГО ПРОЕКТА</w:t>
            </w:r>
          </w:p>
        </w:tc>
      </w:tr>
      <w:tr w:rsidR="007B1E02" w:rsidRPr="007B1E02"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результата, единица измерения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7B1E02" w:rsidRPr="007B1E02">
        <w:tc>
          <w:tcPr>
            <w:tcW w:w="2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070931" w:rsidRPr="007B1E02"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B1E02">
        <w:rPr>
          <w:rFonts w:ascii="Times New Roman" w:hAnsi="Times New Roman" w:cs="Times New Roman"/>
          <w:sz w:val="24"/>
          <w:szCs w:val="24"/>
        </w:rPr>
        <w:t>разработки и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gramStart"/>
      <w:r w:rsidRPr="007B1E0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7B1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программ Юрьевецкого</w:t>
      </w:r>
    </w:p>
    <w:p w:rsidR="00070931" w:rsidRPr="007B1E02" w:rsidRDefault="00070931" w:rsidP="007B1E0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муниципального района и</w:t>
      </w:r>
    </w:p>
    <w:p w:rsidR="00070931" w:rsidRPr="007B1E02" w:rsidRDefault="00070931" w:rsidP="007B1E0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  <w:t>Форма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60"/>
        <w:gridCol w:w="4579"/>
      </w:tblGrid>
      <w:tr w:rsidR="007B1E02" w:rsidRPr="007B1E02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 "Наименование"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ОБЩИЕ ПОЛОЖЕНИЯ</w:t>
            </w:r>
          </w:p>
        </w:tc>
      </w:tr>
      <w:tr w:rsidR="007B1E02" w:rsidRPr="007B1E02"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выполнение комплекса мероприятий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"Наименование"</w:t>
            </w:r>
          </w:p>
        </w:tc>
      </w:tr>
      <w:tr w:rsidR="00070931" w:rsidRPr="007B1E02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ПОКАЗАТЕЛИ РЕАЛИЗАЦИИ КОМПЛЕКСА ПРОЦЕССНЫХ МЕРОПРИЯТИЙ</w:t>
            </w:r>
          </w:p>
        </w:tc>
      </w:tr>
    </w:tbl>
    <w:p w:rsidR="00070931" w:rsidRPr="007B1E02" w:rsidRDefault="00070931" w:rsidP="007B1E02">
      <w:pPr>
        <w:spacing w:after="0" w:line="240" w:lineRule="auto"/>
        <w:textAlignment w:val="baseline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2"/>
        <w:gridCol w:w="2073"/>
        <w:gridCol w:w="1788"/>
        <w:gridCol w:w="1529"/>
        <w:gridCol w:w="1529"/>
      </w:tblGrid>
      <w:tr w:rsidR="007B1E02" w:rsidRPr="007B1E02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реализации, единица измерения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7B1E02" w:rsidRPr="007B1E02"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7B1E02" w:rsidRPr="007B1E02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  <w:sectPr w:rsidR="00070931" w:rsidRPr="007B1E02" w:rsidSect="007B1E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№4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B1E02">
        <w:rPr>
          <w:rFonts w:ascii="Times New Roman" w:hAnsi="Times New Roman" w:cs="Times New Roman"/>
          <w:sz w:val="24"/>
          <w:szCs w:val="24"/>
        </w:rPr>
        <w:t>разработки и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gramStart"/>
      <w:r w:rsidRPr="007B1E0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7B1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программ Юрьевецкого</w:t>
      </w:r>
    </w:p>
    <w:p w:rsidR="00070931" w:rsidRPr="007B1E02" w:rsidRDefault="00070931" w:rsidP="007B1E0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муниципального района и</w:t>
      </w:r>
    </w:p>
    <w:p w:rsidR="00070931" w:rsidRPr="007B1E02" w:rsidRDefault="00070931" w:rsidP="007B1E0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  <w:t>Форма</w:t>
      </w:r>
    </w:p>
    <w:tbl>
      <w:tblPr>
        <w:tblW w:w="951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0"/>
        <w:gridCol w:w="1985"/>
        <w:gridCol w:w="1926"/>
        <w:gridCol w:w="840"/>
        <w:gridCol w:w="1569"/>
        <w:gridCol w:w="1348"/>
        <w:gridCol w:w="1214"/>
        <w:gridCol w:w="134"/>
      </w:tblGrid>
      <w:tr w:rsidR="007B1E02" w:rsidRPr="007B1E02">
        <w:trPr>
          <w:gridAfter w:val="1"/>
          <w:wAfter w:w="126" w:type="dxa"/>
          <w:trHeight w:val="15"/>
        </w:trPr>
        <w:tc>
          <w:tcPr>
            <w:tcW w:w="9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rPr>
          <w:gridAfter w:val="1"/>
          <w:wAfter w:w="126" w:type="dxa"/>
        </w:trPr>
        <w:tc>
          <w:tcPr>
            <w:tcW w:w="9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финансировании структурных элементов муниципальной программы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муниципальной программы)</w:t>
            </w:r>
          </w:p>
        </w:tc>
      </w:tr>
      <w:tr w:rsidR="007B1E02" w:rsidRPr="007B1E02">
        <w:trPr>
          <w:trHeight w:val="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5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7B1E02" w:rsidRPr="007B1E02">
        <w:tc>
          <w:tcPr>
            <w:tcW w:w="6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"Наименование"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N. 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N. 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"Наименование"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N 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N 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бюджет;</w:t>
            </w:r>
          </w:p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бюджет;</w:t>
            </w:r>
          </w:p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бюджеты поселений;</w:t>
            </w:r>
          </w:p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Юрьевецкого муниципального района;</w:t>
            </w:r>
          </w:p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7B1E02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  <w:sectPr w:rsidR="00070931" w:rsidRPr="007B1E02" w:rsidSect="007B1E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B1E02">
        <w:rPr>
          <w:rFonts w:ascii="Times New Roman" w:hAnsi="Times New Roman" w:cs="Times New Roman"/>
          <w:sz w:val="24"/>
          <w:szCs w:val="24"/>
        </w:rPr>
        <w:t>разработки и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gramStart"/>
      <w:r w:rsidRPr="007B1E0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7B1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931" w:rsidRPr="007B1E02" w:rsidRDefault="00070931" w:rsidP="007B1E0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>программ Юрьевецкого</w:t>
      </w: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1E02">
        <w:rPr>
          <w:rFonts w:ascii="Times New Roman" w:hAnsi="Times New Roman" w:cs="Times New Roman"/>
          <w:sz w:val="24"/>
          <w:szCs w:val="24"/>
        </w:rPr>
        <w:t xml:space="preserve"> муниципального района и</w:t>
      </w:r>
    </w:p>
    <w:p w:rsidR="00070931" w:rsidRPr="007B1E02" w:rsidRDefault="00070931" w:rsidP="007B1E02">
      <w:pPr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B1E02">
        <w:rPr>
          <w:rFonts w:ascii="Times New Roman" w:hAnsi="Times New Roman" w:cs="Times New Roman"/>
          <w:sz w:val="24"/>
          <w:szCs w:val="24"/>
        </w:rPr>
        <w:t>Юрьевецкого городского поселения</w:t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B1E02">
        <w:rPr>
          <w:rFonts w:ascii="Times New Roman" w:hAnsi="Times New Roman" w:cs="Times New Roman"/>
          <w:sz w:val="24"/>
          <w:szCs w:val="24"/>
          <w:lang w:eastAsia="ru-RU"/>
        </w:rPr>
        <w:br/>
        <w:t>Форма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1257"/>
        <w:gridCol w:w="980"/>
        <w:gridCol w:w="1158"/>
        <w:gridCol w:w="755"/>
        <w:gridCol w:w="904"/>
        <w:gridCol w:w="779"/>
        <w:gridCol w:w="785"/>
        <w:gridCol w:w="952"/>
        <w:gridCol w:w="931"/>
        <w:gridCol w:w="178"/>
        <w:gridCol w:w="802"/>
      </w:tblGrid>
      <w:tr w:rsidR="007B1E02" w:rsidRPr="007B1E02">
        <w:trPr>
          <w:gridAfter w:val="1"/>
          <w:wAfter w:w="802" w:type="dxa"/>
          <w:trHeight w:val="15"/>
        </w:trPr>
        <w:tc>
          <w:tcPr>
            <w:tcW w:w="8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rPr>
          <w:gridAfter w:val="1"/>
          <w:wAfter w:w="802" w:type="dxa"/>
        </w:trPr>
        <w:tc>
          <w:tcPr>
            <w:tcW w:w="854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выполнении </w:t>
            </w: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реализации)  муниципальной программы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_____ год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муниципальной программы)</w:t>
            </w:r>
          </w:p>
        </w:tc>
      </w:tr>
      <w:tr w:rsidR="007B1E02" w:rsidRPr="007B1E02">
        <w:trPr>
          <w:trHeight w:val="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931" w:rsidRPr="007B1E02" w:rsidRDefault="00070931" w:rsidP="007B1E0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  <w:sectPr w:rsidR="00070931" w:rsidRPr="007B1E02" w:rsidSect="007B1E0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17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2453"/>
        <w:gridCol w:w="1232"/>
        <w:gridCol w:w="1559"/>
        <w:gridCol w:w="1182"/>
        <w:gridCol w:w="1489"/>
        <w:gridCol w:w="1015"/>
        <w:gridCol w:w="1242"/>
        <w:gridCol w:w="1587"/>
        <w:gridCol w:w="998"/>
        <w:gridCol w:w="1755"/>
      </w:tblGrid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элемента/значение результата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 (расшифровать)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муниципальной программы (тыс. рублей)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результата/ показателя реализации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Примечание (указываются причины </w:t>
            </w:r>
            <w:proofErr w:type="spell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средств, </w:t>
            </w:r>
            <w:proofErr w:type="spell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показателей)</w:t>
            </w:r>
          </w:p>
        </w:tc>
      </w:tr>
      <w:tr w:rsidR="007B1E02" w:rsidRPr="007B1E02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на 6 месяцев, 9 месяцев, 12 месяцев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освоено за 6 месяцев, 9 месяцев, 12 месяцев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освоения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6 месяцев, 9 месяцев, 12 месяцев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proofErr w:type="gramEnd"/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6 месяцев, 9 месяцев, 12 месяцев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"Наименование"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1 (ед. измерения)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2 (ед. измерения)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"Наименование"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 (ед. измерения)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2 (ед. измерения)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E02" w:rsidRPr="007B1E02"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1" w:rsidRPr="007B1E02" w:rsidRDefault="00070931" w:rsidP="007B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931" w:rsidRPr="007B1E02" w:rsidRDefault="00070931" w:rsidP="007B1E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0931" w:rsidRPr="007B1E02" w:rsidSect="007B1E0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6B"/>
    <w:rsid w:val="00003366"/>
    <w:rsid w:val="00070931"/>
    <w:rsid w:val="000D7817"/>
    <w:rsid w:val="000E1462"/>
    <w:rsid w:val="00101B16"/>
    <w:rsid w:val="00167C2F"/>
    <w:rsid w:val="00187956"/>
    <w:rsid w:val="001C60CD"/>
    <w:rsid w:val="001E37B6"/>
    <w:rsid w:val="00222413"/>
    <w:rsid w:val="00304B37"/>
    <w:rsid w:val="00322FC6"/>
    <w:rsid w:val="00371B81"/>
    <w:rsid w:val="00372052"/>
    <w:rsid w:val="00373F41"/>
    <w:rsid w:val="00391DA2"/>
    <w:rsid w:val="00415196"/>
    <w:rsid w:val="00466AD4"/>
    <w:rsid w:val="00505A57"/>
    <w:rsid w:val="00550DD9"/>
    <w:rsid w:val="005F6C21"/>
    <w:rsid w:val="0065706D"/>
    <w:rsid w:val="006648BD"/>
    <w:rsid w:val="00690A12"/>
    <w:rsid w:val="00697542"/>
    <w:rsid w:val="006E6104"/>
    <w:rsid w:val="007B1E02"/>
    <w:rsid w:val="007B2B87"/>
    <w:rsid w:val="007B3E92"/>
    <w:rsid w:val="007C04A5"/>
    <w:rsid w:val="007C5F1A"/>
    <w:rsid w:val="008934CB"/>
    <w:rsid w:val="008C5C77"/>
    <w:rsid w:val="008D1898"/>
    <w:rsid w:val="008F036F"/>
    <w:rsid w:val="008F2CE2"/>
    <w:rsid w:val="00915D7D"/>
    <w:rsid w:val="0094398C"/>
    <w:rsid w:val="009754F9"/>
    <w:rsid w:val="00990A54"/>
    <w:rsid w:val="009B1858"/>
    <w:rsid w:val="00A80695"/>
    <w:rsid w:val="00AF7F2D"/>
    <w:rsid w:val="00B05053"/>
    <w:rsid w:val="00B12A6B"/>
    <w:rsid w:val="00B510C3"/>
    <w:rsid w:val="00B53786"/>
    <w:rsid w:val="00CA076C"/>
    <w:rsid w:val="00CD386F"/>
    <w:rsid w:val="00CE6606"/>
    <w:rsid w:val="00D409AD"/>
    <w:rsid w:val="00DA4A28"/>
    <w:rsid w:val="00DD409C"/>
    <w:rsid w:val="00DD6A12"/>
    <w:rsid w:val="00E32F42"/>
    <w:rsid w:val="00E50A01"/>
    <w:rsid w:val="00ED1EE0"/>
    <w:rsid w:val="00EE157E"/>
    <w:rsid w:val="00F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86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73F41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12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4A28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3F41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12A6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4A28"/>
    <w:rPr>
      <w:rFonts w:ascii="Calibri Light" w:hAnsi="Calibri Light" w:cs="Calibri Light"/>
      <w:i/>
      <w:iCs/>
      <w:color w:val="2E74B5"/>
    </w:rPr>
  </w:style>
  <w:style w:type="paragraph" w:customStyle="1" w:styleId="formattext">
    <w:name w:val="formattext"/>
    <w:basedOn w:val="a"/>
    <w:uiPriority w:val="99"/>
    <w:rsid w:val="00B1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12A6B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37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F036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1">
    <w:name w:val="Знак Знак Знак Знак Знак Знак Знак4"/>
    <w:basedOn w:val="a"/>
    <w:uiPriority w:val="99"/>
    <w:rsid w:val="008F03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E3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2F42"/>
    <w:rPr>
      <w:rFonts w:ascii="Segoe UI" w:hAnsi="Segoe UI" w:cs="Segoe UI"/>
      <w:sz w:val="18"/>
      <w:szCs w:val="18"/>
    </w:rPr>
  </w:style>
  <w:style w:type="paragraph" w:styleId="21">
    <w:name w:val="Body Text Indent 2"/>
    <w:aliases w:val="Знак Знак Знак Знак Знак Знак"/>
    <w:basedOn w:val="a"/>
    <w:link w:val="22"/>
    <w:uiPriority w:val="99"/>
    <w:rsid w:val="00ED1EE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 Знак Знак Знак Знак Знак Знак"/>
    <w:basedOn w:val="a0"/>
    <w:link w:val="21"/>
    <w:uiPriority w:val="99"/>
    <w:semiHidden/>
    <w:locked/>
    <w:rsid w:val="00101B1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86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73F41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12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4A28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3F41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12A6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4A28"/>
    <w:rPr>
      <w:rFonts w:ascii="Calibri Light" w:hAnsi="Calibri Light" w:cs="Calibri Light"/>
      <w:i/>
      <w:iCs/>
      <w:color w:val="2E74B5"/>
    </w:rPr>
  </w:style>
  <w:style w:type="paragraph" w:customStyle="1" w:styleId="formattext">
    <w:name w:val="formattext"/>
    <w:basedOn w:val="a"/>
    <w:uiPriority w:val="99"/>
    <w:rsid w:val="00B1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12A6B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37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F036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1">
    <w:name w:val="Знак Знак Знак Знак Знак Знак Знак4"/>
    <w:basedOn w:val="a"/>
    <w:uiPriority w:val="99"/>
    <w:rsid w:val="008F036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E3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2F42"/>
    <w:rPr>
      <w:rFonts w:ascii="Segoe UI" w:hAnsi="Segoe UI" w:cs="Segoe UI"/>
      <w:sz w:val="18"/>
      <w:szCs w:val="18"/>
    </w:rPr>
  </w:style>
  <w:style w:type="paragraph" w:styleId="21">
    <w:name w:val="Body Text Indent 2"/>
    <w:aliases w:val="Знак Знак Знак Знак Знак Знак"/>
    <w:basedOn w:val="a"/>
    <w:link w:val="22"/>
    <w:uiPriority w:val="99"/>
    <w:rsid w:val="00ED1EE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 Знак Знак Знак Знак Знак Знак"/>
    <w:basedOn w:val="a0"/>
    <w:link w:val="21"/>
    <w:uiPriority w:val="99"/>
    <w:semiHidden/>
    <w:locked/>
    <w:rsid w:val="00101B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F668E4F818ED51D51F39007F2723A8214BCF36322FD79AFD06D35EEE1CC51303CB055A2D8CD0F372030759C16586EBC7A9362B3C73ELDE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9F668E4F818ED51D51F386049E2E35821CE4FA6326FE2AF1846B62B1B1CA04707CB600E19CC006357F35608D4E5568A464957AAFC53CD3L6EB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F668E4F818ED51D51F386049E2E35821CEBF76523FE2AF1846B62B1B1CA04707CB600E19CC40F3C7F35608D4E5568A464957AAFC53CD3L6EBJ" TargetMode="External"/><Relationship Id="rId11" Type="http://schemas.openxmlformats.org/officeDocument/2006/relationships/hyperlink" Target="https://docs.cntd.ru/document/574836950" TargetMode="External"/><Relationship Id="rId5" Type="http://schemas.openxmlformats.org/officeDocument/2006/relationships/hyperlink" Target="consultantplus://offline/ref=1A9F668E4F818ED51D51F386049E2E35821CE0FC6124FE2AF1846B62B1B1CA04707CB600E19FC20F3F7F35608D4E5568A464957AAFC53CD3L6EBJ" TargetMode="External"/><Relationship Id="rId10" Type="http://schemas.openxmlformats.org/officeDocument/2006/relationships/hyperlink" Target="https://docs.cntd.ru/document/902098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989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5</cp:revision>
  <cp:lastPrinted>2023-06-09T06:53:00Z</cp:lastPrinted>
  <dcterms:created xsi:type="dcterms:W3CDTF">2023-07-02T05:50:00Z</dcterms:created>
  <dcterms:modified xsi:type="dcterms:W3CDTF">2023-07-06T08:24:00Z</dcterms:modified>
</cp:coreProperties>
</file>